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5B45" w14:textId="20C3DF21" w:rsidR="003A3490" w:rsidRPr="00F2016C" w:rsidRDefault="00F2016C" w:rsidP="00F2016C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F2016C">
        <w:rPr>
          <w:sz w:val="24"/>
          <w:szCs w:val="24"/>
        </w:rPr>
        <w:t xml:space="preserve">            </w:t>
      </w:r>
      <w:r w:rsidRPr="00F2016C">
        <w:rPr>
          <w:b/>
          <w:bCs/>
          <w:sz w:val="32"/>
          <w:szCs w:val="32"/>
        </w:rPr>
        <w:t>C</w:t>
      </w:r>
      <w:r w:rsidRPr="00F2016C">
        <w:rPr>
          <w:b/>
          <w:bCs/>
          <w:sz w:val="24"/>
          <w:szCs w:val="24"/>
        </w:rPr>
        <w:t>AT</w:t>
      </w:r>
      <w:r w:rsidRPr="00F2016C">
        <w:rPr>
          <w:rFonts w:cstheme="minorHAnsi"/>
          <w:b/>
          <w:bCs/>
          <w:sz w:val="24"/>
          <w:szCs w:val="24"/>
        </w:rPr>
        <w:t>É</w:t>
      </w:r>
      <w:r w:rsidRPr="00F2016C">
        <w:rPr>
          <w:b/>
          <w:bCs/>
          <w:sz w:val="24"/>
          <w:szCs w:val="24"/>
        </w:rPr>
        <w:t>GORIES UTILES POUR EXPLIQUER LA D</w:t>
      </w:r>
      <w:r w:rsidRPr="00F2016C">
        <w:rPr>
          <w:rFonts w:cstheme="minorHAnsi"/>
          <w:b/>
          <w:bCs/>
          <w:sz w:val="24"/>
          <w:szCs w:val="24"/>
        </w:rPr>
        <w:t>É</w:t>
      </w:r>
      <w:r w:rsidRPr="00F2016C">
        <w:rPr>
          <w:b/>
          <w:bCs/>
          <w:sz w:val="24"/>
          <w:szCs w:val="24"/>
        </w:rPr>
        <w:t>MARCHE DE L’INTERPR</w:t>
      </w:r>
      <w:r w:rsidRPr="00F2016C">
        <w:rPr>
          <w:rFonts w:cstheme="minorHAnsi"/>
          <w:b/>
          <w:bCs/>
          <w:sz w:val="24"/>
          <w:szCs w:val="24"/>
        </w:rPr>
        <w:t>É</w:t>
      </w:r>
      <w:r w:rsidRPr="00F2016C">
        <w:rPr>
          <w:b/>
          <w:bCs/>
          <w:sz w:val="24"/>
          <w:szCs w:val="24"/>
        </w:rPr>
        <w:t>TATION</w:t>
      </w:r>
    </w:p>
    <w:p w14:paraId="37974997" w14:textId="57BD7D7B" w:rsidR="00F2016C" w:rsidRDefault="00F2016C" w:rsidP="00F2016C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  <w:highlight w:val="yellow"/>
        </w:rPr>
        <w:t>De l’élève à la communauté interprétative</w:t>
      </w:r>
      <w:r w:rsidR="002B03DC">
        <w:rPr>
          <w:rStyle w:val="Appelnotedebasdep"/>
          <w:rFonts w:cstheme="minorHAnsi"/>
          <w:b/>
          <w:bCs/>
          <w:sz w:val="24"/>
          <w:szCs w:val="24"/>
          <w:highlight w:val="yellow"/>
        </w:rPr>
        <w:footnoteReference w:id="1"/>
      </w:r>
      <w:r>
        <w:rPr>
          <w:rFonts w:cstheme="minorHAnsi"/>
          <w:b/>
          <w:bCs/>
          <w:sz w:val="24"/>
          <w:szCs w:val="24"/>
        </w:rPr>
        <w:t> :</w:t>
      </w:r>
    </w:p>
    <w:p w14:paraId="069DDAD1" w14:textId="77777777" w:rsidR="00F2016C" w:rsidRPr="003D327C" w:rsidRDefault="00F2016C" w:rsidP="00F2016C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Une exploration constante</w:t>
      </w:r>
    </w:p>
    <w:p w14:paraId="70E03D2B" w14:textId="57603901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Sujet-lecteur</w:t>
      </w:r>
    </w:p>
    <w:p w14:paraId="65979221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Mobilisation des savoirs</w:t>
      </w:r>
    </w:p>
    <w:p w14:paraId="32B32C18" w14:textId="3927F640" w:rsidR="00F2016C" w:rsidRPr="003D327C" w:rsidRDefault="00F2016C" w:rsidP="00F2016C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 xml:space="preserve">Un engagement actif </w:t>
      </w:r>
      <w:r>
        <w:rPr>
          <w:rFonts w:cstheme="minorHAnsi"/>
          <w:b/>
          <w:bCs/>
          <w:sz w:val="24"/>
          <w:szCs w:val="24"/>
        </w:rPr>
        <w:t xml:space="preserve">et prudent </w:t>
      </w:r>
      <w:r w:rsidRPr="003D327C">
        <w:rPr>
          <w:rFonts w:cstheme="minorHAnsi"/>
          <w:b/>
          <w:bCs/>
          <w:sz w:val="24"/>
          <w:szCs w:val="24"/>
        </w:rPr>
        <w:t>de l’interprète</w:t>
      </w:r>
    </w:p>
    <w:p w14:paraId="1EAF6A5D" w14:textId="77777777" w:rsidR="00F2016C" w:rsidRPr="00103875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>Lecture active= personnelle</w:t>
      </w:r>
    </w:p>
    <w:p w14:paraId="4A903CDD" w14:textId="77777777" w:rsidR="00F2016C" w:rsidRPr="00103875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>Le risque de l’interprétation « finaliste »</w:t>
      </w:r>
    </w:p>
    <w:p w14:paraId="1A7BC447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>Le « cercle herméneutique »</w:t>
      </w:r>
    </w:p>
    <w:p w14:paraId="5139FDC8" w14:textId="77777777" w:rsidR="00F2016C" w:rsidRPr="003D327C" w:rsidRDefault="00F2016C" w:rsidP="00F2016C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 xml:space="preserve">Une réflexion critique </w:t>
      </w:r>
    </w:p>
    <w:p w14:paraId="38C9B0A2" w14:textId="77777777" w:rsidR="00F2016C" w:rsidRPr="00740807" w:rsidRDefault="00F2016C" w:rsidP="00F2016C">
      <w:pPr>
        <w:spacing w:after="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            </w:t>
      </w:r>
      <w:r w:rsidRPr="00740807">
        <w:rPr>
          <w:rFonts w:cstheme="minorHAnsi"/>
          <w:color w:val="7030A0"/>
          <w:sz w:val="24"/>
          <w:szCs w:val="24"/>
        </w:rPr>
        <w:t>« La forme ne peut se produire sans l’idée ni l’idée sans la forme » (G. Flaubert)</w:t>
      </w:r>
    </w:p>
    <w:p w14:paraId="2C89FB90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L’attention aux éléments textuels dérogeant à la norme (FORME)</w:t>
      </w:r>
    </w:p>
    <w:p w14:paraId="44848C71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L’attention aux idées, aux thèmes (FOND) et à leur mise en forme</w:t>
      </w:r>
    </w:p>
    <w:p w14:paraId="0CEC1881" w14:textId="77777777" w:rsidR="00F2016C" w:rsidRPr="000C6A40" w:rsidRDefault="00F2016C" w:rsidP="00F2016C">
      <w:pPr>
        <w:pStyle w:val="Paragraphedeliste"/>
        <w:jc w:val="both"/>
        <w:rPr>
          <w:rFonts w:cstheme="minorHAnsi"/>
          <w:sz w:val="24"/>
          <w:szCs w:val="24"/>
        </w:rPr>
      </w:pPr>
    </w:p>
    <w:p w14:paraId="5874C8F4" w14:textId="77777777" w:rsidR="00F2016C" w:rsidRDefault="00F2016C" w:rsidP="00F2016C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  <w:highlight w:val="yellow"/>
        </w:rPr>
        <w:t xml:space="preserve">Le texte comme un </w:t>
      </w:r>
      <w:r w:rsidRPr="002B03DC">
        <w:rPr>
          <w:rFonts w:cstheme="minorHAnsi"/>
          <w:b/>
          <w:bCs/>
          <w:i/>
          <w:iCs/>
          <w:sz w:val="24"/>
          <w:szCs w:val="24"/>
          <w:highlight w:val="yellow"/>
        </w:rPr>
        <w:t>medium</w:t>
      </w:r>
      <w:r w:rsidRPr="002532DE">
        <w:rPr>
          <w:rFonts w:cstheme="minorHAnsi"/>
          <w:b/>
          <w:bCs/>
          <w:sz w:val="24"/>
          <w:szCs w:val="24"/>
          <w:highlight w:val="yellow"/>
        </w:rPr>
        <w:t xml:space="preserve"> ouvert</w:t>
      </w:r>
      <w:r>
        <w:rPr>
          <w:rFonts w:cstheme="minorHAnsi"/>
          <w:b/>
          <w:bCs/>
          <w:sz w:val="24"/>
          <w:szCs w:val="24"/>
        </w:rPr>
        <w:t> :</w:t>
      </w:r>
    </w:p>
    <w:p w14:paraId="134E2C68" w14:textId="77777777" w:rsidR="00F2016C" w:rsidRPr="003D327C" w:rsidRDefault="00F2016C" w:rsidP="00F2016C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Ouverture de l’œuvre</w:t>
      </w:r>
    </w:p>
    <w:p w14:paraId="390A5D9C" w14:textId="77777777" w:rsidR="00F2016C" w:rsidRDefault="00F2016C" w:rsidP="00F2016C">
      <w:pPr>
        <w:pStyle w:val="Paragraphedeliste"/>
        <w:spacing w:after="0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 xml:space="preserve">Texte </w:t>
      </w:r>
      <w:r w:rsidRPr="008C120F">
        <w:rPr>
          <w:rFonts w:cstheme="minorHAnsi"/>
          <w:i/>
          <w:iCs/>
          <w:color w:val="7030A0"/>
          <w:sz w:val="24"/>
          <w:szCs w:val="24"/>
        </w:rPr>
        <w:t>medium</w:t>
      </w:r>
      <w:r w:rsidRPr="00103875">
        <w:rPr>
          <w:rFonts w:cstheme="minorHAnsi"/>
          <w:color w:val="7030A0"/>
          <w:sz w:val="24"/>
          <w:szCs w:val="24"/>
        </w:rPr>
        <w:t xml:space="preserve"> ouvert </w:t>
      </w:r>
    </w:p>
    <w:p w14:paraId="5DB5FC9E" w14:textId="77777777" w:rsidR="00F2016C" w:rsidRDefault="00F2016C" w:rsidP="00F2016C">
      <w:pPr>
        <w:spacing w:after="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                          Droit du lecteur-droit du texte</w:t>
      </w:r>
    </w:p>
    <w:p w14:paraId="3705D281" w14:textId="77777777" w:rsidR="00F2016C" w:rsidRPr="003D327C" w:rsidRDefault="00F2016C" w:rsidP="00F2016C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Dynamique des sens déployés</w:t>
      </w:r>
    </w:p>
    <w:p w14:paraId="75697BB2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Caractère vivace du texte littéraire dont l’interprétation régénère le sens</w:t>
      </w:r>
    </w:p>
    <w:p w14:paraId="6ABB5DE3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Horizon d’attente du lecteur/ de l’auteur</w:t>
      </w:r>
    </w:p>
    <w:p w14:paraId="6F5C94CC" w14:textId="77777777" w:rsidR="00F2016C" w:rsidRPr="003D327C" w:rsidRDefault="00F2016C" w:rsidP="00F2016C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Éternité du texte (modernité et diversité)</w:t>
      </w:r>
    </w:p>
    <w:p w14:paraId="4DC5460D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Pertinence du texte classique interprété</w:t>
      </w:r>
    </w:p>
    <w:p w14:paraId="241D48F3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Renouvellement de son sens</w:t>
      </w:r>
    </w:p>
    <w:p w14:paraId="7B4342F1" w14:textId="77777777" w:rsidR="00F2016C" w:rsidRPr="00103875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</w:p>
    <w:p w14:paraId="5E6C0758" w14:textId="77777777" w:rsidR="00F2016C" w:rsidRDefault="00F2016C" w:rsidP="00F2016C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  <w:highlight w:val="yellow"/>
        </w:rPr>
        <w:t>La finalité</w:t>
      </w:r>
      <w:r>
        <w:rPr>
          <w:rFonts w:cstheme="minorHAnsi"/>
          <w:b/>
          <w:bCs/>
          <w:sz w:val="24"/>
          <w:szCs w:val="24"/>
        </w:rPr>
        <w:t> :</w:t>
      </w:r>
    </w:p>
    <w:p w14:paraId="7162951B" w14:textId="77777777" w:rsidR="00F2016C" w:rsidRPr="003D327C" w:rsidRDefault="00F2016C" w:rsidP="00F2016C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Créer un objet nouveau</w:t>
      </w:r>
    </w:p>
    <w:p w14:paraId="6DFF1A5A" w14:textId="77777777" w:rsidR="00F2016C" w:rsidRPr="008F0260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De l’explicite à l’implicite</w:t>
      </w:r>
    </w:p>
    <w:p w14:paraId="6EA2DE1C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Extraire des significations indirectes et renouveler les énoncés légués par la tradition</w:t>
      </w:r>
    </w:p>
    <w:p w14:paraId="61808496" w14:textId="77777777" w:rsidR="00F2016C" w:rsidRPr="002532DE" w:rsidRDefault="00F2016C" w:rsidP="00F2016C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</w:rPr>
        <w:t>Faire l’expérience d’un changement de perspective.</w:t>
      </w:r>
    </w:p>
    <w:p w14:paraId="1A6B4BEE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Vision du monde de l’auteur</w:t>
      </w:r>
    </w:p>
    <w:p w14:paraId="214CB058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« Etymon spirituel » du texte</w:t>
      </w:r>
    </w:p>
    <w:p w14:paraId="632616FE" w14:textId="77777777" w:rsidR="00F2016C" w:rsidRPr="002532DE" w:rsidRDefault="00F2016C" w:rsidP="00F2016C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</w:rPr>
        <w:t>Faire l’expérience du plaisir du texte.</w:t>
      </w:r>
    </w:p>
    <w:p w14:paraId="474CF0CE" w14:textId="77777777" w:rsidR="00F2016C" w:rsidRPr="008F0260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L’attention aux mots et aux images</w:t>
      </w:r>
      <w:r>
        <w:rPr>
          <w:rFonts w:cstheme="minorHAnsi"/>
          <w:color w:val="7030A0"/>
          <w:sz w:val="24"/>
          <w:szCs w:val="24"/>
        </w:rPr>
        <w:t> : stylistique</w:t>
      </w:r>
    </w:p>
    <w:p w14:paraId="6DBEE334" w14:textId="77777777" w:rsidR="00F2016C" w:rsidRDefault="00F2016C" w:rsidP="00F2016C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Beauté signifiante du texte</w:t>
      </w:r>
    </w:p>
    <w:p w14:paraId="4F1F2FF6" w14:textId="77777777" w:rsidR="00F2016C" w:rsidRPr="002532DE" w:rsidRDefault="00F2016C" w:rsidP="00F2016C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</w:rPr>
        <w:t>Mesurer les changements historiques et culturels.</w:t>
      </w:r>
    </w:p>
    <w:p w14:paraId="2F35A30C" w14:textId="2177B042" w:rsidR="00F2016C" w:rsidRDefault="00F2016C" w:rsidP="00F2016C">
      <w:pPr>
        <w:pStyle w:val="Paragraphedeliste"/>
        <w:ind w:left="108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     Réception des textes </w:t>
      </w:r>
    </w:p>
    <w:p w14:paraId="6322C356" w14:textId="77777777" w:rsidR="00F2016C" w:rsidRDefault="00F2016C" w:rsidP="00F2016C">
      <w:pPr>
        <w:pStyle w:val="Paragraphedeliste"/>
        <w:ind w:left="1080"/>
        <w:jc w:val="both"/>
        <w:rPr>
          <w:rFonts w:cstheme="minorHAnsi"/>
          <w:color w:val="7030A0"/>
          <w:sz w:val="24"/>
          <w:szCs w:val="24"/>
        </w:rPr>
      </w:pPr>
    </w:p>
    <w:p w14:paraId="6061A39D" w14:textId="77777777" w:rsidR="00F2016C" w:rsidRPr="00F2016C" w:rsidRDefault="00F2016C">
      <w:pPr>
        <w:rPr>
          <w:b/>
          <w:bCs/>
        </w:rPr>
      </w:pPr>
    </w:p>
    <w:sectPr w:rsidR="00F2016C" w:rsidRPr="00F2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010D" w14:textId="77777777" w:rsidR="00A225AF" w:rsidRDefault="00A225AF" w:rsidP="00F2016C">
      <w:pPr>
        <w:spacing w:after="0" w:line="240" w:lineRule="auto"/>
      </w:pPr>
      <w:r>
        <w:separator/>
      </w:r>
    </w:p>
  </w:endnote>
  <w:endnote w:type="continuationSeparator" w:id="0">
    <w:p w14:paraId="60D4EE21" w14:textId="77777777" w:rsidR="00A225AF" w:rsidRDefault="00A225AF" w:rsidP="00F2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047A" w14:textId="77777777" w:rsidR="00A225AF" w:rsidRDefault="00A225AF" w:rsidP="00F2016C">
      <w:pPr>
        <w:spacing w:after="0" w:line="240" w:lineRule="auto"/>
      </w:pPr>
      <w:r>
        <w:separator/>
      </w:r>
    </w:p>
  </w:footnote>
  <w:footnote w:type="continuationSeparator" w:id="0">
    <w:p w14:paraId="4970AC9B" w14:textId="77777777" w:rsidR="00A225AF" w:rsidRDefault="00A225AF" w:rsidP="00F2016C">
      <w:pPr>
        <w:spacing w:after="0" w:line="240" w:lineRule="auto"/>
      </w:pPr>
      <w:r>
        <w:continuationSeparator/>
      </w:r>
    </w:p>
  </w:footnote>
  <w:footnote w:id="1">
    <w:p w14:paraId="1B83AED4" w14:textId="62D20D61" w:rsidR="002B03DC" w:rsidRDefault="002B03DC">
      <w:pPr>
        <w:pStyle w:val="Notedebasdepage"/>
      </w:pPr>
      <w:r>
        <w:rPr>
          <w:rStyle w:val="Appelnotedebasdep"/>
        </w:rPr>
        <w:footnoteRef/>
      </w:r>
      <w:r>
        <w:t xml:space="preserve"> La « communauté interprétative » désigne ici la classe, dans le cadre quotidien du cours de HLP.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CDD"/>
    <w:multiLevelType w:val="hybridMultilevel"/>
    <w:tmpl w:val="DBBEA7FC"/>
    <w:lvl w:ilvl="0" w:tplc="7DF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BDB"/>
    <w:multiLevelType w:val="hybridMultilevel"/>
    <w:tmpl w:val="1C34686C"/>
    <w:lvl w:ilvl="0" w:tplc="040C0009">
      <w:start w:val="1"/>
      <w:numFmt w:val="bullet"/>
      <w:lvlText w:val=""/>
      <w:lvlJc w:val="left"/>
      <w:pPr>
        <w:ind w:left="4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" w15:restartNumberingAfterBreak="0">
    <w:nsid w:val="2F451DED"/>
    <w:multiLevelType w:val="hybridMultilevel"/>
    <w:tmpl w:val="0C1AC340"/>
    <w:lvl w:ilvl="0" w:tplc="5A387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80B1E"/>
    <w:multiLevelType w:val="hybridMultilevel"/>
    <w:tmpl w:val="2E98D634"/>
    <w:lvl w:ilvl="0" w:tplc="565EE5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53A9"/>
    <w:multiLevelType w:val="hybridMultilevel"/>
    <w:tmpl w:val="90DCDD18"/>
    <w:lvl w:ilvl="0" w:tplc="15E8A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078FB"/>
    <w:multiLevelType w:val="hybridMultilevel"/>
    <w:tmpl w:val="F5D0BA5C"/>
    <w:lvl w:ilvl="0" w:tplc="85E66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8597793">
    <w:abstractNumId w:val="0"/>
  </w:num>
  <w:num w:numId="2" w16cid:durableId="349185321">
    <w:abstractNumId w:val="2"/>
  </w:num>
  <w:num w:numId="3" w16cid:durableId="1696030381">
    <w:abstractNumId w:val="5"/>
  </w:num>
  <w:num w:numId="4" w16cid:durableId="1750493543">
    <w:abstractNumId w:val="4"/>
  </w:num>
  <w:num w:numId="5" w16cid:durableId="725833764">
    <w:abstractNumId w:val="3"/>
  </w:num>
  <w:num w:numId="6" w16cid:durableId="1615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6C"/>
    <w:rsid w:val="002B03DC"/>
    <w:rsid w:val="003A3490"/>
    <w:rsid w:val="00886A3C"/>
    <w:rsid w:val="00A225AF"/>
    <w:rsid w:val="00F06791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BC6"/>
  <w15:chartTrackingRefBased/>
  <w15:docId w15:val="{ACDC090D-B9AA-4814-975F-D41FA6AB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01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016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016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2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AE8A-B91D-4D1B-9E71-AA38E58B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3</cp:revision>
  <dcterms:created xsi:type="dcterms:W3CDTF">2023-11-26T20:42:00Z</dcterms:created>
  <dcterms:modified xsi:type="dcterms:W3CDTF">2023-12-14T16:41:00Z</dcterms:modified>
</cp:coreProperties>
</file>