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3246" w14:textId="5D1C25DB" w:rsidR="003A3490" w:rsidRDefault="00E93F1E" w:rsidP="009B6E7B">
      <w:pPr>
        <w:spacing w:after="0"/>
        <w:rPr>
          <w:b/>
          <w:bCs/>
          <w:sz w:val="24"/>
          <w:szCs w:val="24"/>
        </w:rPr>
      </w:pPr>
      <w:r>
        <w:rPr>
          <w:b/>
          <w:bCs/>
          <w:sz w:val="24"/>
          <w:szCs w:val="24"/>
        </w:rPr>
        <w:t xml:space="preserve">                                                                                        </w:t>
      </w:r>
      <w:r w:rsidRPr="00E93F1E">
        <w:rPr>
          <w:b/>
          <w:bCs/>
          <w:sz w:val="24"/>
          <w:szCs w:val="24"/>
        </w:rPr>
        <w:t>ANNEXE 2. SYNTH</w:t>
      </w:r>
      <w:r w:rsidRPr="00E93F1E">
        <w:rPr>
          <w:rFonts w:cstheme="minorHAnsi"/>
          <w:b/>
          <w:bCs/>
          <w:sz w:val="24"/>
          <w:szCs w:val="24"/>
        </w:rPr>
        <w:t>È</w:t>
      </w:r>
      <w:r w:rsidRPr="00E93F1E">
        <w:rPr>
          <w:b/>
          <w:bCs/>
          <w:sz w:val="24"/>
          <w:szCs w:val="24"/>
        </w:rPr>
        <w:t>SE DE LA LECTURE SUIVIE</w:t>
      </w:r>
      <w:r>
        <w:rPr>
          <w:rStyle w:val="Appelnotedebasdep"/>
          <w:b/>
          <w:bCs/>
          <w:sz w:val="24"/>
          <w:szCs w:val="24"/>
        </w:rPr>
        <w:footnoteReference w:id="1"/>
      </w:r>
      <w:r w:rsidRPr="00E93F1E">
        <w:rPr>
          <w:b/>
          <w:bCs/>
          <w:sz w:val="24"/>
          <w:szCs w:val="24"/>
        </w:rPr>
        <w:t xml:space="preserve"> </w:t>
      </w:r>
    </w:p>
    <w:tbl>
      <w:tblPr>
        <w:tblStyle w:val="Grilledutableau"/>
        <w:tblW w:w="0" w:type="auto"/>
        <w:tblLook w:val="04A0" w:firstRow="1" w:lastRow="0" w:firstColumn="1" w:lastColumn="0" w:noHBand="0" w:noVBand="1"/>
      </w:tblPr>
      <w:tblGrid>
        <w:gridCol w:w="4664"/>
        <w:gridCol w:w="4665"/>
        <w:gridCol w:w="4665"/>
      </w:tblGrid>
      <w:tr w:rsidR="00E93F1E" w14:paraId="12C935ED" w14:textId="77777777" w:rsidTr="009B6E7B">
        <w:tc>
          <w:tcPr>
            <w:tcW w:w="4664" w:type="dxa"/>
            <w:shd w:val="clear" w:color="auto" w:fill="BFBFBF" w:themeFill="background1" w:themeFillShade="BF"/>
          </w:tcPr>
          <w:p w14:paraId="3D0DB521" w14:textId="33A52D85" w:rsidR="00E93F1E" w:rsidRDefault="00E93F1E" w:rsidP="00E93F1E">
            <w:pPr>
              <w:jc w:val="center"/>
              <w:rPr>
                <w:b/>
                <w:bCs/>
                <w:sz w:val="24"/>
                <w:szCs w:val="24"/>
              </w:rPr>
            </w:pPr>
            <w:r>
              <w:rPr>
                <w:b/>
                <w:bCs/>
                <w:sz w:val="24"/>
                <w:szCs w:val="24"/>
              </w:rPr>
              <w:t>Description de l’interprétation</w:t>
            </w:r>
          </w:p>
        </w:tc>
        <w:tc>
          <w:tcPr>
            <w:tcW w:w="4665" w:type="dxa"/>
            <w:shd w:val="clear" w:color="auto" w:fill="BFBFBF" w:themeFill="background1" w:themeFillShade="BF"/>
          </w:tcPr>
          <w:p w14:paraId="51EA9345" w14:textId="653613EA" w:rsidR="00E93F1E" w:rsidRDefault="00E93F1E" w:rsidP="00E93F1E">
            <w:pPr>
              <w:jc w:val="center"/>
              <w:rPr>
                <w:b/>
                <w:bCs/>
                <w:sz w:val="24"/>
                <w:szCs w:val="24"/>
              </w:rPr>
            </w:pPr>
            <w:r>
              <w:rPr>
                <w:b/>
                <w:bCs/>
                <w:sz w:val="24"/>
                <w:szCs w:val="24"/>
              </w:rPr>
              <w:t>Erreurs fréquentes des interprètes</w:t>
            </w:r>
          </w:p>
        </w:tc>
        <w:tc>
          <w:tcPr>
            <w:tcW w:w="4665" w:type="dxa"/>
            <w:shd w:val="clear" w:color="auto" w:fill="BFBFBF" w:themeFill="background1" w:themeFillShade="BF"/>
          </w:tcPr>
          <w:p w14:paraId="2F20A791" w14:textId="2FDD959C" w:rsidR="00E93F1E" w:rsidRDefault="00E93F1E" w:rsidP="00E93F1E">
            <w:pPr>
              <w:jc w:val="center"/>
              <w:rPr>
                <w:b/>
                <w:bCs/>
                <w:sz w:val="24"/>
                <w:szCs w:val="24"/>
              </w:rPr>
            </w:pPr>
            <w:r>
              <w:rPr>
                <w:b/>
                <w:bCs/>
                <w:sz w:val="24"/>
                <w:szCs w:val="24"/>
              </w:rPr>
              <w:t>Finalité de l’interprétation</w:t>
            </w:r>
          </w:p>
        </w:tc>
      </w:tr>
      <w:tr w:rsidR="00E93F1E" w14:paraId="3143963C" w14:textId="77777777" w:rsidTr="009B6E7B">
        <w:trPr>
          <w:trHeight w:val="7309"/>
        </w:trPr>
        <w:tc>
          <w:tcPr>
            <w:tcW w:w="4664" w:type="dxa"/>
          </w:tcPr>
          <w:p w14:paraId="44408BD3" w14:textId="77777777" w:rsidR="00E93F1E" w:rsidRPr="009B6E7B" w:rsidRDefault="00E93F1E" w:rsidP="009B6E7B">
            <w:pPr>
              <w:tabs>
                <w:tab w:val="left" w:pos="1575"/>
              </w:tabs>
              <w:spacing w:line="480" w:lineRule="auto"/>
              <w:jc w:val="both"/>
            </w:pPr>
            <w:r w:rsidRPr="009B6E7B">
              <w:t>-Reproduction (musique)</w:t>
            </w:r>
          </w:p>
          <w:p w14:paraId="716F0DBE" w14:textId="77777777" w:rsidR="00E93F1E" w:rsidRPr="009B6E7B" w:rsidRDefault="00E93F1E" w:rsidP="009B6E7B">
            <w:pPr>
              <w:tabs>
                <w:tab w:val="left" w:pos="1575"/>
              </w:tabs>
              <w:spacing w:line="480" w:lineRule="auto"/>
              <w:jc w:val="both"/>
            </w:pPr>
            <w:r w:rsidRPr="009B6E7B">
              <w:t>-Réflexion critique</w:t>
            </w:r>
          </w:p>
          <w:p w14:paraId="563C867E" w14:textId="065540F1" w:rsidR="00E93F1E" w:rsidRPr="009B6E7B" w:rsidRDefault="00E93F1E" w:rsidP="009B6E7B">
            <w:pPr>
              <w:tabs>
                <w:tab w:val="left" w:pos="1575"/>
              </w:tabs>
              <w:spacing w:line="480" w:lineRule="auto"/>
              <w:jc w:val="both"/>
            </w:pPr>
            <w:r w:rsidRPr="009B6E7B">
              <w:t>-Dialogue avec le passé de l’œuvre</w:t>
            </w:r>
          </w:p>
          <w:p w14:paraId="02427C8E" w14:textId="55F2C3BF" w:rsidR="00E93F1E" w:rsidRPr="009B6E7B" w:rsidRDefault="00E93F1E" w:rsidP="009B6E7B">
            <w:pPr>
              <w:tabs>
                <w:tab w:val="left" w:pos="1575"/>
              </w:tabs>
              <w:spacing w:line="480" w:lineRule="auto"/>
              <w:jc w:val="both"/>
            </w:pPr>
            <w:r w:rsidRPr="009B6E7B">
              <w:t>-Réception active de l’œuvre</w:t>
            </w:r>
          </w:p>
          <w:p w14:paraId="63B47380" w14:textId="77777777" w:rsidR="00E93F1E" w:rsidRPr="009B6E7B" w:rsidRDefault="00E93F1E" w:rsidP="009B6E7B">
            <w:pPr>
              <w:tabs>
                <w:tab w:val="left" w:pos="1575"/>
              </w:tabs>
              <w:spacing w:line="480" w:lineRule="auto"/>
              <w:jc w:val="both"/>
            </w:pPr>
            <w:r w:rsidRPr="009B6E7B">
              <w:t>-Mobilisation des savoirs</w:t>
            </w:r>
          </w:p>
          <w:p w14:paraId="5373F167" w14:textId="16BDC16B" w:rsidR="00E93F1E" w:rsidRPr="009B6E7B" w:rsidRDefault="00E93F1E" w:rsidP="009B6E7B">
            <w:pPr>
              <w:tabs>
                <w:tab w:val="left" w:pos="1575"/>
              </w:tabs>
              <w:spacing w:line="480" w:lineRule="auto"/>
              <w:jc w:val="both"/>
            </w:pPr>
            <w:r w:rsidRPr="009B6E7B">
              <w:t>-Rencontre de l’histoire de l’œuvre et du présent de l’interprète</w:t>
            </w:r>
          </w:p>
          <w:p w14:paraId="33CD7868" w14:textId="1AD772EB" w:rsidR="00E93F1E" w:rsidRPr="009B6E7B" w:rsidRDefault="00E93F1E" w:rsidP="009B6E7B">
            <w:pPr>
              <w:tabs>
                <w:tab w:val="left" w:pos="1575"/>
              </w:tabs>
              <w:spacing w:line="480" w:lineRule="auto"/>
              <w:jc w:val="both"/>
            </w:pPr>
            <w:r w:rsidRPr="009B6E7B">
              <w:t>-Primauté de l’œuvre sur l’interprète</w:t>
            </w:r>
          </w:p>
          <w:p w14:paraId="789FE6F0" w14:textId="010E1CD4" w:rsidR="00E93F1E" w:rsidRPr="009B6E7B" w:rsidRDefault="00E93F1E" w:rsidP="009B6E7B">
            <w:pPr>
              <w:tabs>
                <w:tab w:val="left" w:pos="1575"/>
              </w:tabs>
              <w:spacing w:line="480" w:lineRule="auto"/>
              <w:jc w:val="both"/>
            </w:pPr>
            <w:r w:rsidRPr="009B6E7B">
              <w:t>-Violence de l’interprétation : entreprise de déconstruction</w:t>
            </w:r>
          </w:p>
          <w:p w14:paraId="73A8566E" w14:textId="164C80AE" w:rsidR="00E93F1E" w:rsidRPr="009B6E7B" w:rsidRDefault="00E93F1E" w:rsidP="009B6E7B">
            <w:pPr>
              <w:tabs>
                <w:tab w:val="left" w:pos="1575"/>
              </w:tabs>
              <w:spacing w:line="480" w:lineRule="auto"/>
              <w:jc w:val="both"/>
            </w:pPr>
            <w:r w:rsidRPr="009B6E7B">
              <w:t>-Profanation</w:t>
            </w:r>
          </w:p>
          <w:p w14:paraId="4C268D2E" w14:textId="7CE0880F" w:rsidR="009B6E7B" w:rsidRPr="009B6E7B" w:rsidRDefault="00E93F1E" w:rsidP="009B6E7B">
            <w:pPr>
              <w:tabs>
                <w:tab w:val="left" w:pos="1575"/>
              </w:tabs>
              <w:spacing w:line="480" w:lineRule="auto"/>
              <w:jc w:val="both"/>
            </w:pPr>
            <w:r w:rsidRPr="009B6E7B">
              <w:t>-Plaisir « électrisant » du texte</w:t>
            </w:r>
            <w:r w:rsidRPr="009B6E7B">
              <w:tab/>
            </w:r>
          </w:p>
        </w:tc>
        <w:tc>
          <w:tcPr>
            <w:tcW w:w="4665" w:type="dxa"/>
          </w:tcPr>
          <w:p w14:paraId="1D65A965" w14:textId="77777777" w:rsidR="009B6E7B" w:rsidRDefault="009B6E7B" w:rsidP="009B6E7B">
            <w:pPr>
              <w:spacing w:line="480" w:lineRule="auto"/>
            </w:pPr>
          </w:p>
          <w:p w14:paraId="3D8E6051" w14:textId="0A489415" w:rsidR="00E93F1E" w:rsidRPr="009B6E7B" w:rsidRDefault="00E93F1E" w:rsidP="009B6E7B">
            <w:pPr>
              <w:spacing w:line="480" w:lineRule="auto"/>
            </w:pPr>
            <w:r w:rsidRPr="009B6E7B">
              <w:t>-Ne pas être à l’écoute de ce que dit le texte ou de ce qu’il ne dit pas</w:t>
            </w:r>
          </w:p>
          <w:p w14:paraId="0BC81DAF" w14:textId="77777777" w:rsidR="00E93F1E" w:rsidRPr="009B6E7B" w:rsidRDefault="00E93F1E" w:rsidP="009B6E7B">
            <w:pPr>
              <w:spacing w:line="480" w:lineRule="auto"/>
            </w:pPr>
            <w:r w:rsidRPr="009B6E7B">
              <w:t>-Crainte excessive de trahir l’horizon d’attente de l’auteur</w:t>
            </w:r>
          </w:p>
          <w:p w14:paraId="1E012556" w14:textId="68D562AB" w:rsidR="00E93F1E" w:rsidRPr="009B6E7B" w:rsidRDefault="00E93F1E" w:rsidP="009B6E7B">
            <w:pPr>
              <w:spacing w:line="480" w:lineRule="auto"/>
            </w:pPr>
            <w:r w:rsidRPr="009B6E7B">
              <w:t>-Obsession de la fidélité à l’œuvre originale (qui n’existe plus</w:t>
            </w:r>
            <w:r w:rsidR="009B6E7B" w:rsidRPr="009B6E7B">
              <w:t> </w:t>
            </w:r>
            <w:r w:rsidRPr="009B6E7B">
              <w:t>!)</w:t>
            </w:r>
          </w:p>
          <w:p w14:paraId="50F7CF01" w14:textId="77777777" w:rsidR="00E93F1E" w:rsidRPr="009B6E7B" w:rsidRDefault="00E93F1E" w:rsidP="009B6E7B">
            <w:pPr>
              <w:spacing w:line="480" w:lineRule="auto"/>
            </w:pPr>
            <w:r w:rsidRPr="009B6E7B">
              <w:t>-Négliger le texte</w:t>
            </w:r>
          </w:p>
          <w:p w14:paraId="7D402BE0" w14:textId="77777777" w:rsidR="00E93F1E" w:rsidRPr="009B6E7B" w:rsidRDefault="00E93F1E" w:rsidP="009B6E7B">
            <w:pPr>
              <w:spacing w:line="480" w:lineRule="auto"/>
            </w:pPr>
            <w:r w:rsidRPr="009B6E7B">
              <w:t xml:space="preserve">-Considérer le texte comme un </w:t>
            </w:r>
            <w:r w:rsidRPr="009B6E7B">
              <w:rPr>
                <w:i/>
                <w:iCs/>
              </w:rPr>
              <w:t>medium</w:t>
            </w:r>
            <w:r w:rsidRPr="009B6E7B">
              <w:t xml:space="preserve"> fermé au sens définitif et unique</w:t>
            </w:r>
          </w:p>
          <w:p w14:paraId="7E02ED82" w14:textId="75B0617C" w:rsidR="00E93F1E" w:rsidRPr="009B6E7B" w:rsidRDefault="00E93F1E" w:rsidP="009B6E7B">
            <w:pPr>
              <w:spacing w:line="480" w:lineRule="auto"/>
            </w:pPr>
            <w:r w:rsidRPr="009B6E7B">
              <w:t xml:space="preserve">-Laisser aller sa propre subjectivité et déformer les intentions de l’œuvre </w:t>
            </w:r>
          </w:p>
        </w:tc>
        <w:tc>
          <w:tcPr>
            <w:tcW w:w="4665" w:type="dxa"/>
          </w:tcPr>
          <w:p w14:paraId="6A656462" w14:textId="77777777" w:rsidR="00BD1BA5" w:rsidRPr="009B6E7B" w:rsidRDefault="00BD1BA5" w:rsidP="00BD1BA5">
            <w:pPr>
              <w:tabs>
                <w:tab w:val="left" w:pos="1575"/>
              </w:tabs>
              <w:spacing w:line="480" w:lineRule="auto"/>
              <w:jc w:val="both"/>
            </w:pPr>
            <w:r w:rsidRPr="009B6E7B">
              <w:t>-Seconde vie de l’œuvre</w:t>
            </w:r>
          </w:p>
          <w:p w14:paraId="5723348B" w14:textId="4CD09DE9" w:rsidR="00E93F1E" w:rsidRPr="009B6E7B" w:rsidRDefault="009B6E7B" w:rsidP="009B6E7B">
            <w:pPr>
              <w:spacing w:line="480" w:lineRule="auto"/>
            </w:pPr>
            <w:r w:rsidRPr="009B6E7B">
              <w:t>-Mettre à jour l’étymon spirituel du texte</w:t>
            </w:r>
          </w:p>
          <w:p w14:paraId="2BE0E18F" w14:textId="62B1AF44" w:rsidR="009B6E7B" w:rsidRPr="009B6E7B" w:rsidRDefault="009B6E7B" w:rsidP="009B6E7B">
            <w:pPr>
              <w:spacing w:line="480" w:lineRule="auto"/>
            </w:pPr>
            <w:r w:rsidRPr="009B6E7B">
              <w:t>-Expliquer et transmettre (=continuer de faire vivre un texte)</w:t>
            </w:r>
          </w:p>
          <w:p w14:paraId="0181A9E0" w14:textId="77777777" w:rsidR="009B6E7B" w:rsidRPr="009B6E7B" w:rsidRDefault="009B6E7B" w:rsidP="009B6E7B">
            <w:pPr>
              <w:spacing w:line="480" w:lineRule="auto"/>
            </w:pPr>
            <w:r w:rsidRPr="009B6E7B">
              <w:t>- Renouveler le sens</w:t>
            </w:r>
          </w:p>
          <w:p w14:paraId="4D75720F" w14:textId="77777777" w:rsidR="009B6E7B" w:rsidRPr="009B6E7B" w:rsidRDefault="009B6E7B" w:rsidP="009B6E7B">
            <w:pPr>
              <w:spacing w:line="480" w:lineRule="auto"/>
            </w:pPr>
            <w:r w:rsidRPr="009B6E7B">
              <w:t xml:space="preserve">-Garantir la pérennité de l’œuvre </w:t>
            </w:r>
          </w:p>
          <w:p w14:paraId="0405468D" w14:textId="77777777" w:rsidR="009B6E7B" w:rsidRPr="009B6E7B" w:rsidRDefault="009B6E7B" w:rsidP="009B6E7B">
            <w:pPr>
              <w:spacing w:line="480" w:lineRule="auto"/>
            </w:pPr>
            <w:r w:rsidRPr="009B6E7B">
              <w:t xml:space="preserve">-Entretenir le caractère vivace de l’œuvre </w:t>
            </w:r>
          </w:p>
          <w:p w14:paraId="337F4EEE" w14:textId="77777777" w:rsidR="009B6E7B" w:rsidRPr="009B6E7B" w:rsidRDefault="009B6E7B" w:rsidP="009B6E7B">
            <w:pPr>
              <w:spacing w:line="480" w:lineRule="auto"/>
            </w:pPr>
            <w:r w:rsidRPr="009B6E7B">
              <w:t>-Par une démarche de lecture active, devenir créateur d’un objet nouveau</w:t>
            </w:r>
          </w:p>
          <w:p w14:paraId="515E7F39" w14:textId="6AA969A3" w:rsidR="009B6E7B" w:rsidRPr="009B6E7B" w:rsidRDefault="009B6E7B" w:rsidP="009B6E7B">
            <w:pPr>
              <w:spacing w:line="480" w:lineRule="auto"/>
            </w:pPr>
            <w:r w:rsidRPr="009B6E7B">
              <w:t xml:space="preserve">-Libérer la force propre au texte ou à l’œuvre </w:t>
            </w:r>
          </w:p>
        </w:tc>
      </w:tr>
    </w:tbl>
    <w:p w14:paraId="72C6178C" w14:textId="77777777" w:rsidR="00E93F1E" w:rsidRDefault="00E93F1E">
      <w:pPr>
        <w:rPr>
          <w:b/>
          <w:bCs/>
          <w:sz w:val="24"/>
          <w:szCs w:val="24"/>
        </w:rPr>
      </w:pPr>
    </w:p>
    <w:p w14:paraId="18FF75D8" w14:textId="721AC874" w:rsidR="00BD1BA5" w:rsidRPr="00BD1BA5" w:rsidRDefault="00BD1BA5" w:rsidP="00BD1BA5">
      <w:pPr>
        <w:jc w:val="both"/>
        <w:rPr>
          <w:b/>
          <w:bCs/>
          <w:sz w:val="24"/>
          <w:szCs w:val="24"/>
        </w:rPr>
      </w:pPr>
      <w:r>
        <w:rPr>
          <w:b/>
          <w:bCs/>
          <w:sz w:val="24"/>
          <w:szCs w:val="24"/>
        </w:rPr>
        <w:lastRenderedPageBreak/>
        <w:t xml:space="preserve">                                              </w:t>
      </w:r>
      <w:r w:rsidRPr="00BD1BA5">
        <w:rPr>
          <w:b/>
          <w:bCs/>
          <w:sz w:val="24"/>
          <w:szCs w:val="24"/>
        </w:rPr>
        <w:t>Les attendus de l’épreuve de HLP (interprétation) précisés sur EDUSCOL</w:t>
      </w:r>
      <w:r>
        <w:rPr>
          <w:b/>
          <w:bCs/>
          <w:sz w:val="24"/>
          <w:szCs w:val="24"/>
        </w:rPr>
        <w:t> :</w:t>
      </w:r>
    </w:p>
    <w:p w14:paraId="4FF4C181" w14:textId="1468F158" w:rsidR="00BD1BA5" w:rsidRPr="00BD1BA5" w:rsidRDefault="00BD1BA5" w:rsidP="00BD1BA5">
      <w:pPr>
        <w:jc w:val="both"/>
        <w:rPr>
          <w:sz w:val="24"/>
          <w:szCs w:val="24"/>
        </w:rPr>
      </w:pPr>
      <w:r w:rsidRPr="00BD1BA5">
        <w:rPr>
          <w:sz w:val="24"/>
          <w:szCs w:val="24"/>
        </w:rPr>
        <w:t>« La précision de la lecture du texte, l’attention portée à la langue et à son lexique, aux notions et à leur déclinaison, ainsi que le choix et la présentation des éléments de sens les plus décisifs. On apprécie également l’organisation d’un commentaire qui peut être concis, mais qui doit être circonstancié, argumenté et en prise sur la lettre comme sur l’esprit du texte étudié.</w:t>
      </w:r>
      <w:r w:rsidRPr="00BD1BA5">
        <w:rPr>
          <w:rStyle w:val="Appelnotedebasdep"/>
          <w:sz w:val="24"/>
          <w:szCs w:val="24"/>
        </w:rPr>
        <w:footnoteReference w:id="2"/>
      </w:r>
      <w:r w:rsidRPr="00BD1BA5">
        <w:rPr>
          <w:sz w:val="24"/>
          <w:szCs w:val="24"/>
        </w:rPr>
        <w:t> »</w:t>
      </w:r>
    </w:p>
    <w:p w14:paraId="044D94E8" w14:textId="77777777" w:rsidR="00BD1BA5" w:rsidRDefault="00BD1BA5">
      <w:pPr>
        <w:rPr>
          <w:b/>
          <w:bCs/>
          <w:sz w:val="24"/>
          <w:szCs w:val="24"/>
        </w:rPr>
      </w:pPr>
      <w:r>
        <w:rPr>
          <w:rFonts w:cstheme="minorHAnsi"/>
          <w:b/>
          <w:bCs/>
          <w:sz w:val="24"/>
          <w:szCs w:val="24"/>
        </w:rPr>
        <w:t>→</w:t>
      </w:r>
      <w:r>
        <w:rPr>
          <w:b/>
          <w:bCs/>
          <w:sz w:val="24"/>
          <w:szCs w:val="24"/>
        </w:rPr>
        <w:t>Mettre en regard les éléments relevés dans l’essai de Baricco (tableau page 1) et les attendus officiels pour l’examen.</w:t>
      </w:r>
    </w:p>
    <w:p w14:paraId="4B749AFD" w14:textId="35296FC5" w:rsidR="00BD1BA5" w:rsidRPr="00E93F1E" w:rsidRDefault="00BD1BA5">
      <w:pPr>
        <w:rPr>
          <w:b/>
          <w:bCs/>
          <w:sz w:val="24"/>
          <w:szCs w:val="24"/>
        </w:rPr>
      </w:pPr>
      <w:r>
        <w:rPr>
          <w:rFonts w:cstheme="minorHAnsi"/>
          <w:b/>
          <w:bCs/>
          <w:sz w:val="24"/>
          <w:szCs w:val="24"/>
        </w:rPr>
        <w:t>→É</w:t>
      </w:r>
      <w:r>
        <w:rPr>
          <w:b/>
          <w:bCs/>
          <w:sz w:val="24"/>
          <w:szCs w:val="24"/>
        </w:rPr>
        <w:t>tablir avec la classe une démarche de lecture valable pour la littérature et la philosophie.</w:t>
      </w:r>
    </w:p>
    <w:sectPr w:rsidR="00BD1BA5" w:rsidRPr="00E93F1E" w:rsidSect="00E93F1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B138" w14:textId="77777777" w:rsidR="008C1BE0" w:rsidRDefault="008C1BE0" w:rsidP="00E93F1E">
      <w:pPr>
        <w:spacing w:after="0" w:line="240" w:lineRule="auto"/>
      </w:pPr>
      <w:r>
        <w:separator/>
      </w:r>
    </w:p>
  </w:endnote>
  <w:endnote w:type="continuationSeparator" w:id="0">
    <w:p w14:paraId="515D865A" w14:textId="77777777" w:rsidR="008C1BE0" w:rsidRDefault="008C1BE0" w:rsidP="00E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98057"/>
      <w:docPartObj>
        <w:docPartGallery w:val="Page Numbers (Bottom of Page)"/>
        <w:docPartUnique/>
      </w:docPartObj>
    </w:sdtPr>
    <w:sdtContent>
      <w:p w14:paraId="0B66ADAD" w14:textId="09466AAC" w:rsidR="00BD1BA5" w:rsidRDefault="00BD1BA5">
        <w:pPr>
          <w:pStyle w:val="Pieddepage"/>
          <w:jc w:val="right"/>
        </w:pPr>
        <w:r>
          <w:fldChar w:fldCharType="begin"/>
        </w:r>
        <w:r>
          <w:instrText>PAGE   \* MERGEFORMAT</w:instrText>
        </w:r>
        <w:r>
          <w:fldChar w:fldCharType="separate"/>
        </w:r>
        <w:r>
          <w:t>2</w:t>
        </w:r>
        <w:r>
          <w:fldChar w:fldCharType="end"/>
        </w:r>
      </w:p>
    </w:sdtContent>
  </w:sdt>
  <w:p w14:paraId="5C5E30F6" w14:textId="77777777" w:rsidR="00BD1BA5" w:rsidRDefault="00BD1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B69F" w14:textId="77777777" w:rsidR="008C1BE0" w:rsidRDefault="008C1BE0" w:rsidP="00E93F1E">
      <w:pPr>
        <w:spacing w:after="0" w:line="240" w:lineRule="auto"/>
      </w:pPr>
      <w:r>
        <w:separator/>
      </w:r>
    </w:p>
  </w:footnote>
  <w:footnote w:type="continuationSeparator" w:id="0">
    <w:p w14:paraId="591BAED9" w14:textId="77777777" w:rsidR="008C1BE0" w:rsidRDefault="008C1BE0" w:rsidP="00E93F1E">
      <w:pPr>
        <w:spacing w:after="0" w:line="240" w:lineRule="auto"/>
      </w:pPr>
      <w:r>
        <w:continuationSeparator/>
      </w:r>
    </w:p>
  </w:footnote>
  <w:footnote w:id="1">
    <w:p w14:paraId="1BE51E59" w14:textId="0700E72B" w:rsidR="00E93F1E" w:rsidRDefault="00E93F1E">
      <w:pPr>
        <w:pStyle w:val="Notedebasdepage"/>
      </w:pPr>
      <w:r>
        <w:rPr>
          <w:rStyle w:val="Appelnotedebasdep"/>
        </w:rPr>
        <w:footnoteRef/>
      </w:r>
      <w:r>
        <w:t xml:space="preserve"> Pour la classe</w:t>
      </w:r>
    </w:p>
  </w:footnote>
  <w:footnote w:id="2">
    <w:p w14:paraId="7BB04C13" w14:textId="77777777" w:rsidR="00BD1BA5" w:rsidRDefault="00BD1BA5" w:rsidP="00BD1BA5">
      <w:pPr>
        <w:pStyle w:val="Notedebasdepage"/>
      </w:pPr>
      <w:r>
        <w:rPr>
          <w:rStyle w:val="Appelnotedebasdep"/>
        </w:rPr>
        <w:footnoteRef/>
      </w:r>
      <w:r>
        <w:t xml:space="preserve"> Ibidem (page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1E"/>
    <w:rsid w:val="003A3490"/>
    <w:rsid w:val="00886A3C"/>
    <w:rsid w:val="008C1BE0"/>
    <w:rsid w:val="009B6E7B"/>
    <w:rsid w:val="00AA16B7"/>
    <w:rsid w:val="00BD1BA5"/>
    <w:rsid w:val="00E93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B052"/>
  <w15:chartTrackingRefBased/>
  <w15:docId w15:val="{C6057AE8-EC5D-4A87-9EC1-2D029D2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9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93F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F1E"/>
    <w:rPr>
      <w:sz w:val="20"/>
      <w:szCs w:val="20"/>
    </w:rPr>
  </w:style>
  <w:style w:type="character" w:styleId="Appelnotedebasdep">
    <w:name w:val="footnote reference"/>
    <w:basedOn w:val="Policepardfaut"/>
    <w:uiPriority w:val="99"/>
    <w:semiHidden/>
    <w:unhideWhenUsed/>
    <w:rsid w:val="00E93F1E"/>
    <w:rPr>
      <w:vertAlign w:val="superscript"/>
    </w:rPr>
  </w:style>
  <w:style w:type="paragraph" w:styleId="En-tte">
    <w:name w:val="header"/>
    <w:basedOn w:val="Normal"/>
    <w:link w:val="En-tteCar"/>
    <w:uiPriority w:val="99"/>
    <w:unhideWhenUsed/>
    <w:rsid w:val="00BD1BA5"/>
    <w:pPr>
      <w:tabs>
        <w:tab w:val="center" w:pos="4536"/>
        <w:tab w:val="right" w:pos="9072"/>
      </w:tabs>
      <w:spacing w:after="0" w:line="240" w:lineRule="auto"/>
    </w:pPr>
  </w:style>
  <w:style w:type="character" w:customStyle="1" w:styleId="En-tteCar">
    <w:name w:val="En-tête Car"/>
    <w:basedOn w:val="Policepardfaut"/>
    <w:link w:val="En-tte"/>
    <w:uiPriority w:val="99"/>
    <w:rsid w:val="00BD1BA5"/>
  </w:style>
  <w:style w:type="paragraph" w:styleId="Pieddepage">
    <w:name w:val="footer"/>
    <w:basedOn w:val="Normal"/>
    <w:link w:val="PieddepageCar"/>
    <w:uiPriority w:val="99"/>
    <w:unhideWhenUsed/>
    <w:rsid w:val="00BD1B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2819-2BD0-444D-B2E9-367514AF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Godard</dc:creator>
  <cp:keywords/>
  <dc:description/>
  <cp:lastModifiedBy>Patricia Godard</cp:lastModifiedBy>
  <cp:revision>2</cp:revision>
  <dcterms:created xsi:type="dcterms:W3CDTF">2023-11-26T16:57:00Z</dcterms:created>
  <dcterms:modified xsi:type="dcterms:W3CDTF">2023-11-26T17:32:00Z</dcterms:modified>
</cp:coreProperties>
</file>